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9808" w:val="right"/>
        </w:tabs>
      </w:pPr>
      <w:r>
        <w:rPr>
          <w:b/>
          <w:color w:val="1B2B4B"/>
          <w:sz w:val="40"/>
        </w:rPr>
        <w:t>CENOVÁ NABÍDKA</w:t>
      </w:r>
      <w:r>
        <w:rPr>
          <w:b/>
          <w:color w:val="1B2B4B"/>
          <w:sz w:val="22"/>
        </w:rPr>
        <w:tab/>
        <w:t>č. 2026-001</w:t>
      </w:r>
    </w:p>
    <w:p>
      <w:r>
        <w:rPr>
          <w:color w:val="66716E"/>
          <w:sz w:val="17"/>
        </w:rPr>
        <w:t>Platnost 30 dní od vystavení · ceny bez DPH · práce a materiál zvlášť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  <w:color w:val="1B2B4B"/>
                <w:sz w:val="21"/>
              </w:rPr>
              <w:t>Zhotovitel</w:t>
            </w:r>
          </w:p>
          <w:p>
            <w:pPr>
              <w:spacing w:after="20"/>
            </w:pPr>
            <w:r>
              <w:rPr>
                <w:color w:val="66716E"/>
                <w:sz w:val="17"/>
              </w:rPr>
              <w:t xml:space="preserve">Firma / jméno: </w:t>
            </w:r>
            <w:r>
              <w:rPr>
                <w:sz w:val="19"/>
              </w:rPr>
              <w:t>[Název firmy]</w:t>
            </w:r>
          </w:p>
          <w:p>
            <w:pPr>
              <w:spacing w:after="20"/>
            </w:pPr>
            <w:r>
              <w:rPr>
                <w:color w:val="66716E"/>
                <w:sz w:val="17"/>
              </w:rPr>
              <w:t xml:space="preserve">IČO / DIČ: </w:t>
            </w:r>
            <w:r>
              <w:rPr>
                <w:sz w:val="19"/>
              </w:rPr>
              <w:t>[12345678 / CZ12345678]</w:t>
            </w:r>
          </w:p>
          <w:p>
            <w:pPr>
              <w:spacing w:after="20"/>
            </w:pPr>
            <w:r>
              <w:rPr>
                <w:color w:val="66716E"/>
                <w:sz w:val="17"/>
              </w:rPr>
              <w:t xml:space="preserve">Kontakt: </w:t>
            </w:r>
            <w:r>
              <w:rPr>
                <w:sz w:val="19"/>
              </w:rPr>
              <w:t>[telefon, e-mail]</w:t>
            </w:r>
          </w:p>
        </w:tc>
        <w:tc>
          <w:tcPr>
            <w:tcW w:type="dxa" w:w="4933"/>
          </w:tcPr>
          <w:p>
            <w:r>
              <w:rPr>
                <w:b/>
                <w:color w:val="1B2B4B"/>
                <w:sz w:val="21"/>
              </w:rPr>
              <w:t>Objednatel</w:t>
            </w:r>
          </w:p>
          <w:p>
            <w:pPr>
              <w:spacing w:after="20"/>
            </w:pPr>
            <w:r>
              <w:rPr>
                <w:color w:val="66716E"/>
                <w:sz w:val="17"/>
              </w:rPr>
              <w:t xml:space="preserve">Jméno / firma: </w:t>
            </w:r>
            <w:r>
              <w:rPr>
                <w:sz w:val="19"/>
              </w:rPr>
              <w:t>[Jméno klienta]</w:t>
            </w:r>
          </w:p>
          <w:p>
            <w:pPr>
              <w:spacing w:after="20"/>
            </w:pPr>
            <w:r>
              <w:rPr>
                <w:color w:val="66716E"/>
                <w:sz w:val="17"/>
              </w:rPr>
              <w:t xml:space="preserve">Místo stavby: </w:t>
            </w:r>
            <w:r>
              <w:rPr>
                <w:sz w:val="19"/>
              </w:rPr>
              <w:t>[Adresa stavby]</w:t>
            </w:r>
          </w:p>
          <w:p>
            <w:pPr>
              <w:spacing w:after="20"/>
            </w:pPr>
            <w:r>
              <w:rPr>
                <w:color w:val="66716E"/>
                <w:sz w:val="17"/>
              </w:rPr>
              <w:t xml:space="preserve">Datum: </w:t>
            </w:r>
            <w:r>
              <w:rPr>
                <w:sz w:val="19"/>
              </w:rPr>
              <w:t>[DD. MM. RRRR]</w:t>
            </w:r>
          </w:p>
        </w:tc>
      </w:tr>
    </w:tbl>
    <w:p>
      <w:pPr>
        <w:spacing w:after="60"/>
      </w:pPr>
      <w:r>
        <w:rPr>
          <w:b/>
          <w:sz w:val="20"/>
        </w:rPr>
        <w:t>Předmět: [Rekonstrukce koupelny 2,4 × 2,1 m — bourání, obklady, omítky a malby]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454"/>
            <w:shd w:val="clear" w:color="auto" w:fill="1B2B4B"/>
          </w:tcPr>
          <w:p>
            <w:r>
              <w:rPr>
                <w:b/>
                <w:color w:val="FFFFFF"/>
                <w:sz w:val="16"/>
              </w:rPr>
              <w:t>#</w:t>
            </w:r>
          </w:p>
        </w:tc>
        <w:tc>
          <w:tcPr>
            <w:tcW w:type="dxa" w:w="4309"/>
            <w:shd w:val="clear" w:color="auto" w:fill="1B2B4B"/>
          </w:tcPr>
          <w:p>
            <w:r>
              <w:rPr>
                <w:b/>
                <w:color w:val="FFFFFF"/>
                <w:sz w:val="16"/>
              </w:rPr>
              <w:t>Položka</w:t>
            </w:r>
          </w:p>
        </w:tc>
        <w:tc>
          <w:tcPr>
            <w:tcW w:type="dxa" w:w="624"/>
            <w:shd w:val="clear" w:color="auto" w:fill="1B2B4B"/>
          </w:tcPr>
          <w:p>
            <w:r>
              <w:rPr>
                <w:b/>
                <w:color w:val="FFFFFF"/>
                <w:sz w:val="16"/>
              </w:rPr>
              <w:t>MJ</w:t>
            </w:r>
          </w:p>
        </w:tc>
        <w:tc>
          <w:tcPr>
            <w:tcW w:type="dxa" w:w="1077"/>
            <w:shd w:val="clear" w:color="auto" w:fill="1B2B4B"/>
          </w:tcPr>
          <w:p>
            <w:r>
              <w:rPr>
                <w:b/>
                <w:color w:val="FFFFFF"/>
                <w:sz w:val="16"/>
              </w:rPr>
              <w:t>Množství</w:t>
            </w:r>
          </w:p>
        </w:tc>
        <w:tc>
          <w:tcPr>
            <w:tcW w:type="dxa" w:w="1134"/>
            <w:shd w:val="clear" w:color="auto" w:fill="1B2B4B"/>
          </w:tcPr>
          <w:p>
            <w:r>
              <w:rPr>
                <w:b/>
                <w:color w:val="FFFFFF"/>
                <w:sz w:val="16"/>
              </w:rPr>
              <w:t>Práce / MJ</w:t>
            </w:r>
          </w:p>
        </w:tc>
        <w:tc>
          <w:tcPr>
            <w:tcW w:type="dxa" w:w="1247"/>
            <w:shd w:val="clear" w:color="auto" w:fill="1B2B4B"/>
          </w:tcPr>
          <w:p>
            <w:r>
              <w:rPr>
                <w:b/>
                <w:color w:val="FFFFFF"/>
                <w:sz w:val="16"/>
              </w:rPr>
              <w:t>Materiál / MJ</w:t>
            </w:r>
          </w:p>
        </w:tc>
        <w:tc>
          <w:tcPr>
            <w:tcW w:type="dxa" w:w="1247"/>
            <w:shd w:val="clear" w:color="auto" w:fill="1B2B4B"/>
          </w:tcPr>
          <w:p>
            <w:r>
              <w:rPr>
                <w:b/>
                <w:color w:val="FFFFFF"/>
                <w:sz w:val="16"/>
              </w:rPr>
              <w:t>Celkem</w:t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</w:p>
        </w:tc>
        <w:tc>
          <w:tcPr>
            <w:tcW w:type="dxa" w:w="4309"/>
          </w:tcPr>
          <w:p>
            <w:r>
              <w:rPr>
                <w:sz w:val="18"/>
              </w:rPr>
              <w:t>Bourání</w:t>
            </w:r>
          </w:p>
        </w:tc>
        <w:tc>
          <w:tcPr>
            <w:tcW w:type="dxa" w:w="624"/>
          </w:tcPr>
          <w:p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  <w:shd w:val="clear" w:color="auto" w:fill="F3F4F1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4309"/>
            <w:shd w:val="clear" w:color="auto" w:fill="F3F4F1"/>
          </w:tcPr>
          <w:p>
            <w:r>
              <w:rPr>
                <w:sz w:val="18"/>
              </w:rPr>
              <w:t>Otlučení vnitřních omítek stěn</w:t>
            </w:r>
          </w:p>
        </w:tc>
        <w:tc>
          <w:tcPr>
            <w:tcW w:type="dxa" w:w="624"/>
            <w:shd w:val="clear" w:color="auto" w:fill="F3F4F1"/>
          </w:tcPr>
          <w:p>
            <w:r>
              <w:rPr>
                <w:sz w:val="18"/>
              </w:rPr>
              <w:t>m²</w:t>
            </w:r>
          </w:p>
        </w:tc>
        <w:tc>
          <w:tcPr>
            <w:tcW w:type="dxa" w:w="1077"/>
            <w:shd w:val="clear" w:color="auto" w:fill="F3F4F1"/>
          </w:tcPr>
          <w:p>
            <w:pPr>
              <w:jc w:val="right"/>
            </w:pPr>
            <w:r>
              <w:rPr>
                <w:sz w:val="18"/>
              </w:rPr>
              <w:t>24</w:t>
            </w:r>
          </w:p>
        </w:tc>
        <w:tc>
          <w:tcPr>
            <w:tcW w:type="dxa" w:w="1134"/>
            <w:shd w:val="clear" w:color="auto" w:fill="F3F4F1"/>
          </w:tcPr>
          <w:p>
            <w:pPr>
              <w:jc w:val="right"/>
            </w:pPr>
            <w:r>
              <w:rPr>
                <w:sz w:val="18"/>
              </w:rPr>
              <w:t>133</w:t>
            </w:r>
          </w:p>
        </w:tc>
        <w:tc>
          <w:tcPr>
            <w:tcW w:type="dxa" w:w="1247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1247"/>
            <w:shd w:val="clear" w:color="auto" w:fill="F3F4F1"/>
          </w:tcPr>
          <w:p>
            <w:pPr>
              <w:jc w:val="right"/>
            </w:pPr>
            <w:r>
              <w:rPr>
                <w:sz w:val="18"/>
              </w:rPr>
              <w:t>3 192</w:t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4309"/>
          </w:tcPr>
          <w:p>
            <w:r>
              <w:rPr>
                <w:sz w:val="18"/>
              </w:rPr>
              <w:t>Odsekání stávajících obkladů</w:t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m²</w:t>
            </w:r>
          </w:p>
        </w:tc>
        <w:tc>
          <w:tcPr>
            <w:tcW w:type="dxa" w:w="1077"/>
          </w:tcPr>
          <w:p>
            <w:pPr>
              <w:jc w:val="right"/>
            </w:pPr>
            <w:r>
              <w:rPr>
                <w:sz w:val="18"/>
              </w:rPr>
              <w:t>22</w:t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rPr>
                <w:sz w:val="18"/>
              </w:rPr>
              <w:t>146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pPr>
              <w:jc w:val="right"/>
            </w:pPr>
            <w:r>
              <w:rPr>
                <w:sz w:val="18"/>
              </w:rPr>
              <w:t>3 212</w:t>
            </w:r>
          </w:p>
        </w:tc>
      </w:tr>
      <w:tr>
        <w:tc>
          <w:tcPr>
            <w:tcW w:type="dxa" w:w="454"/>
            <w:shd w:val="clear" w:color="auto" w:fill="F3F4F1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4309"/>
            <w:shd w:val="clear" w:color="auto" w:fill="F3F4F1"/>
          </w:tcPr>
          <w:p>
            <w:r>
              <w:rPr>
                <w:sz w:val="18"/>
              </w:rPr>
              <w:t>Odvoz a uložení suti</w:t>
            </w:r>
          </w:p>
        </w:tc>
        <w:tc>
          <w:tcPr>
            <w:tcW w:type="dxa" w:w="624"/>
            <w:shd w:val="clear" w:color="auto" w:fill="F3F4F1"/>
          </w:tcPr>
          <w:p>
            <w:r>
              <w:rPr>
                <w:sz w:val="18"/>
              </w:rPr>
              <w:t>t</w:t>
            </w:r>
          </w:p>
        </w:tc>
        <w:tc>
          <w:tcPr>
            <w:tcW w:type="dxa" w:w="1077"/>
            <w:shd w:val="clear" w:color="auto" w:fill="F3F4F1"/>
          </w:tcPr>
          <w:p>
            <w:pPr>
              <w:jc w:val="right"/>
            </w:pPr>
            <w:r>
              <w:rPr>
                <w:sz w:val="18"/>
              </w:rPr>
              <w:t>1,8</w:t>
            </w:r>
          </w:p>
        </w:tc>
        <w:tc>
          <w:tcPr>
            <w:tcW w:type="dxa" w:w="1134"/>
            <w:shd w:val="clear" w:color="auto" w:fill="F3F4F1"/>
          </w:tcPr>
          <w:p>
            <w:pPr>
              <w:jc w:val="right"/>
            </w:pPr>
            <w:r>
              <w:rPr>
                <w:sz w:val="18"/>
              </w:rPr>
              <w:t>301</w:t>
            </w:r>
          </w:p>
        </w:tc>
        <w:tc>
          <w:tcPr>
            <w:tcW w:type="dxa" w:w="1247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1247"/>
            <w:shd w:val="clear" w:color="auto" w:fill="F3F4F1"/>
          </w:tcPr>
          <w:p>
            <w:pPr>
              <w:jc w:val="right"/>
            </w:pPr>
            <w:r>
              <w:rPr>
                <w:sz w:val="18"/>
              </w:rPr>
              <w:t>542</w:t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</w:p>
        </w:tc>
        <w:tc>
          <w:tcPr>
            <w:tcW w:type="dxa" w:w="4309"/>
          </w:tcPr>
          <w:p>
            <w:r>
              <w:rPr>
                <w:sz w:val="18"/>
              </w:rPr>
              <w:t>Obklady</w:t>
            </w:r>
          </w:p>
        </w:tc>
        <w:tc>
          <w:tcPr>
            <w:tcW w:type="dxa" w:w="624"/>
          </w:tcPr>
          <w:p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  <w:shd w:val="clear" w:color="auto" w:fill="F3F4F1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4309"/>
            <w:shd w:val="clear" w:color="auto" w:fill="F3F4F1"/>
          </w:tcPr>
          <w:p>
            <w:r>
              <w:rPr>
                <w:sz w:val="18"/>
              </w:rPr>
              <w:t>Penetrace podkladu pod obklady</w:t>
            </w:r>
          </w:p>
        </w:tc>
        <w:tc>
          <w:tcPr>
            <w:tcW w:type="dxa" w:w="624"/>
            <w:shd w:val="clear" w:color="auto" w:fill="F3F4F1"/>
          </w:tcPr>
          <w:p>
            <w:r>
              <w:rPr>
                <w:sz w:val="18"/>
              </w:rPr>
              <w:t>m²</w:t>
            </w:r>
          </w:p>
        </w:tc>
        <w:tc>
          <w:tcPr>
            <w:tcW w:type="dxa" w:w="1077"/>
            <w:shd w:val="clear" w:color="auto" w:fill="F3F4F1"/>
          </w:tcPr>
          <w:p>
            <w:pPr>
              <w:jc w:val="right"/>
            </w:pPr>
            <w:r>
              <w:rPr>
                <w:sz w:val="18"/>
              </w:rPr>
              <w:t>24</w:t>
            </w:r>
          </w:p>
        </w:tc>
        <w:tc>
          <w:tcPr>
            <w:tcW w:type="dxa" w:w="1134"/>
            <w:shd w:val="clear" w:color="auto" w:fill="F3F4F1"/>
          </w:tcPr>
          <w:p>
            <w:pPr>
              <w:jc w:val="right"/>
            </w:pPr>
            <w:r>
              <w:rPr>
                <w:sz w:val="18"/>
              </w:rPr>
              <w:t>58</w:t>
            </w:r>
          </w:p>
        </w:tc>
        <w:tc>
          <w:tcPr>
            <w:tcW w:type="dxa" w:w="1247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1247"/>
            <w:shd w:val="clear" w:color="auto" w:fill="F3F4F1"/>
          </w:tcPr>
          <w:p>
            <w:pPr>
              <w:jc w:val="right"/>
            </w:pPr>
            <w:r>
              <w:rPr>
                <w:sz w:val="18"/>
              </w:rPr>
              <w:t>1 392</w:t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4309"/>
          </w:tcPr>
          <w:p>
            <w:r>
              <w:rPr>
                <w:sz w:val="18"/>
              </w:rPr>
              <w:t>Hydroizolační stěrka ve dvou vrstvách</w:t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m²</w:t>
            </w:r>
          </w:p>
        </w:tc>
        <w:tc>
          <w:tcPr>
            <w:tcW w:type="dxa" w:w="1077"/>
          </w:tcPr>
          <w:p>
            <w:pPr>
              <w:jc w:val="right"/>
            </w:pPr>
            <w:r>
              <w:rPr>
                <w:sz w:val="18"/>
              </w:rPr>
              <w:t>9</w:t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rPr>
                <w:sz w:val="18"/>
              </w:rPr>
              <w:t>463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pPr>
              <w:jc w:val="right"/>
            </w:pPr>
            <w:r>
              <w:rPr>
                <w:sz w:val="18"/>
              </w:rPr>
              <w:t>4 167</w:t>
            </w:r>
          </w:p>
        </w:tc>
      </w:tr>
      <w:tr>
        <w:tc>
          <w:tcPr>
            <w:tcW w:type="dxa" w:w="454"/>
            <w:shd w:val="clear" w:color="auto" w:fill="F3F4F1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4309"/>
            <w:shd w:val="clear" w:color="auto" w:fill="F3F4F1"/>
          </w:tcPr>
          <w:p>
            <w:r>
              <w:rPr>
                <w:sz w:val="18"/>
              </w:rPr>
              <w:t>Obklad stěn keramický 30×60 cm do tmelu</w:t>
            </w:r>
          </w:p>
        </w:tc>
        <w:tc>
          <w:tcPr>
            <w:tcW w:type="dxa" w:w="624"/>
            <w:shd w:val="clear" w:color="auto" w:fill="F3F4F1"/>
          </w:tcPr>
          <w:p>
            <w:r>
              <w:rPr>
                <w:sz w:val="18"/>
              </w:rPr>
              <w:t>m²</w:t>
            </w:r>
          </w:p>
        </w:tc>
        <w:tc>
          <w:tcPr>
            <w:tcW w:type="dxa" w:w="1077"/>
            <w:shd w:val="clear" w:color="auto" w:fill="F3F4F1"/>
          </w:tcPr>
          <w:p>
            <w:pPr>
              <w:jc w:val="right"/>
            </w:pPr>
            <w:r>
              <w:rPr>
                <w:sz w:val="18"/>
              </w:rPr>
              <w:t>24</w:t>
            </w:r>
          </w:p>
        </w:tc>
        <w:tc>
          <w:tcPr>
            <w:tcW w:type="dxa" w:w="1134"/>
            <w:shd w:val="clear" w:color="auto" w:fill="F3F4F1"/>
          </w:tcPr>
          <w:p>
            <w:pPr>
              <w:jc w:val="right"/>
            </w:pPr>
            <w:r>
              <w:rPr>
                <w:sz w:val="18"/>
              </w:rPr>
              <w:t>962</w:t>
            </w:r>
          </w:p>
        </w:tc>
        <w:tc>
          <w:tcPr>
            <w:tcW w:type="dxa" w:w="1247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1247"/>
            <w:shd w:val="clear" w:color="auto" w:fill="F3F4F1"/>
          </w:tcPr>
          <w:p>
            <w:pPr>
              <w:jc w:val="right"/>
            </w:pPr>
            <w:r>
              <w:rPr>
                <w:sz w:val="18"/>
              </w:rPr>
              <w:t>23 088</w:t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4309"/>
          </w:tcPr>
          <w:p>
            <w:r>
              <w:rPr>
                <w:sz w:val="18"/>
              </w:rPr>
              <w:t>Obkladačky — dodávka dle výběru klienta</w:t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m²</w:t>
            </w:r>
          </w:p>
        </w:tc>
        <w:tc>
          <w:tcPr>
            <w:tcW w:type="dxa" w:w="1077"/>
          </w:tcPr>
          <w:p>
            <w:pPr>
              <w:jc w:val="right"/>
            </w:pPr>
            <w:r>
              <w:rPr>
                <w:sz w:val="18"/>
              </w:rPr>
              <w:t>26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pPr>
              <w:jc w:val="right"/>
            </w:pPr>
            <w:r>
              <w:rPr>
                <w:sz w:val="18"/>
              </w:rPr>
              <w:t>spec.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  <w:shd w:val="clear" w:color="auto" w:fill="F3F4F1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4309"/>
            <w:shd w:val="clear" w:color="auto" w:fill="F3F4F1"/>
          </w:tcPr>
          <w:p>
            <w:r>
              <w:rPr>
                <w:sz w:val="18"/>
              </w:rPr>
              <w:t>Spárování silikonem, začištění</w:t>
            </w:r>
          </w:p>
        </w:tc>
        <w:tc>
          <w:tcPr>
            <w:tcW w:type="dxa" w:w="624"/>
            <w:shd w:val="clear" w:color="auto" w:fill="F3F4F1"/>
          </w:tcPr>
          <w:p>
            <w:r>
              <w:rPr>
                <w:sz w:val="18"/>
              </w:rPr>
              <w:t>bm</w:t>
            </w:r>
          </w:p>
        </w:tc>
        <w:tc>
          <w:tcPr>
            <w:tcW w:type="dxa" w:w="1077"/>
            <w:shd w:val="clear" w:color="auto" w:fill="F3F4F1"/>
          </w:tcPr>
          <w:p>
            <w:pPr>
              <w:jc w:val="right"/>
            </w:pPr>
            <w:r>
              <w:rPr>
                <w:sz w:val="18"/>
              </w:rPr>
              <w:t>18</w:t>
            </w:r>
          </w:p>
        </w:tc>
        <w:tc>
          <w:tcPr>
            <w:tcW w:type="dxa" w:w="1134"/>
            <w:shd w:val="clear" w:color="auto" w:fill="F3F4F1"/>
          </w:tcPr>
          <w:p>
            <w:pPr>
              <w:jc w:val="right"/>
            </w:pPr>
            <w:r>
              <w:rPr>
                <w:sz w:val="18"/>
              </w:rPr>
              <w:t>57</w:t>
            </w:r>
          </w:p>
        </w:tc>
        <w:tc>
          <w:tcPr>
            <w:tcW w:type="dxa" w:w="1247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1247"/>
            <w:shd w:val="clear" w:color="auto" w:fill="F3F4F1"/>
          </w:tcPr>
          <w:p>
            <w:pPr>
              <w:jc w:val="right"/>
            </w:pPr>
            <w:r>
              <w:rPr>
                <w:sz w:val="18"/>
              </w:rPr>
              <w:t>1 026</w:t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</w:r>
          </w:p>
        </w:tc>
        <w:tc>
          <w:tcPr>
            <w:tcW w:type="dxa" w:w="4309"/>
          </w:tcPr>
          <w:p>
            <w:r>
              <w:rPr>
                <w:sz w:val="18"/>
              </w:rPr>
              <w:t>Omítky a malby</w:t>
            </w:r>
          </w:p>
        </w:tc>
        <w:tc>
          <w:tcPr>
            <w:tcW w:type="dxa" w:w="624"/>
          </w:tcPr>
          <w:p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4"/>
            <w:shd w:val="clear" w:color="auto" w:fill="F3F4F1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4309"/>
            <w:shd w:val="clear" w:color="auto" w:fill="F3F4F1"/>
          </w:tcPr>
          <w:p>
            <w:r>
              <w:rPr>
                <w:sz w:val="18"/>
              </w:rPr>
              <w:t>Vápenný štuk vnitřních stěn do 3 mm</w:t>
            </w:r>
          </w:p>
        </w:tc>
        <w:tc>
          <w:tcPr>
            <w:tcW w:type="dxa" w:w="624"/>
            <w:shd w:val="clear" w:color="auto" w:fill="F3F4F1"/>
          </w:tcPr>
          <w:p>
            <w:r>
              <w:rPr>
                <w:sz w:val="18"/>
              </w:rPr>
              <w:t>m²</w:t>
            </w:r>
          </w:p>
        </w:tc>
        <w:tc>
          <w:tcPr>
            <w:tcW w:type="dxa" w:w="1077"/>
            <w:shd w:val="clear" w:color="auto" w:fill="F3F4F1"/>
          </w:tcPr>
          <w:p>
            <w:pPr>
              <w:jc w:val="right"/>
            </w:pPr>
            <w:r>
              <w:rPr>
                <w:sz w:val="18"/>
              </w:rPr>
              <w:t>12</w:t>
            </w:r>
          </w:p>
        </w:tc>
        <w:tc>
          <w:tcPr>
            <w:tcW w:type="dxa" w:w="1134"/>
            <w:shd w:val="clear" w:color="auto" w:fill="F3F4F1"/>
          </w:tcPr>
          <w:p>
            <w:pPr>
              <w:jc w:val="right"/>
            </w:pPr>
            <w:r>
              <w:rPr>
                <w:sz w:val="18"/>
              </w:rPr>
              <w:t>111</w:t>
            </w:r>
          </w:p>
        </w:tc>
        <w:tc>
          <w:tcPr>
            <w:tcW w:type="dxa" w:w="1247"/>
            <w:shd w:val="clear" w:color="auto" w:fill="F3F4F1"/>
          </w:tcPr>
          <w:p>
            <w:r>
              <w:rPr>
                <w:sz w:val="18"/>
              </w:rPr>
            </w:r>
          </w:p>
        </w:tc>
        <w:tc>
          <w:tcPr>
            <w:tcW w:type="dxa" w:w="1247"/>
            <w:shd w:val="clear" w:color="auto" w:fill="F3F4F1"/>
          </w:tcPr>
          <w:p>
            <w:pPr>
              <w:jc w:val="right"/>
            </w:pPr>
            <w:r>
              <w:rPr>
                <w:sz w:val="18"/>
              </w:rPr>
              <w:t>1 332</w:t>
            </w:r>
          </w:p>
        </w:tc>
      </w:tr>
      <w:tr>
        <w:tc>
          <w:tcPr>
            <w:tcW w:type="dxa" w:w="454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4309"/>
          </w:tcPr>
          <w:p>
            <w:r>
              <w:rPr>
                <w:sz w:val="18"/>
              </w:rPr>
              <w:t>Penetrace + malba dvojnásobná</w:t>
            </w:r>
          </w:p>
        </w:tc>
        <w:tc>
          <w:tcPr>
            <w:tcW w:type="dxa" w:w="624"/>
          </w:tcPr>
          <w:p>
            <w:r>
              <w:rPr>
                <w:sz w:val="18"/>
              </w:rPr>
              <w:t>m²</w:t>
            </w:r>
          </w:p>
        </w:tc>
        <w:tc>
          <w:tcPr>
            <w:tcW w:type="dxa" w:w="1077"/>
          </w:tcPr>
          <w:p>
            <w:pPr>
              <w:jc w:val="right"/>
            </w:pPr>
            <w:r>
              <w:rPr>
                <w:sz w:val="18"/>
              </w:rPr>
              <w:t>12</w:t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rPr>
                <w:sz w:val="18"/>
              </w:rPr>
              <w:t>25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pPr>
              <w:jc w:val="right"/>
            </w:pPr>
            <w:r>
              <w:rPr>
                <w:sz w:val="18"/>
              </w:rPr>
              <w:t>300</w:t>
            </w:r>
          </w:p>
        </w:tc>
      </w:tr>
    </w:tbl>
    <w:p>
      <w:pPr>
        <w:spacing w:after="20"/>
        <w:jc w:val="right"/>
      </w:pPr>
      <w:r>
        <w:rPr>
          <w:b/>
          <w:sz w:val="20"/>
        </w:rPr>
        <w:t>Cena celkem bez DPH    38 251 Kč</w:t>
      </w:r>
    </w:p>
    <w:p>
      <w:pPr>
        <w:spacing w:after="20"/>
        <w:jc w:val="right"/>
      </w:pPr>
      <w:r>
        <w:rPr>
          <w:b w:val="0"/>
          <w:sz w:val="20"/>
        </w:rPr>
        <w:t>DPH 12 % (bytová výstavba — potvrdí účetní)    4 590 Kč</w:t>
      </w:r>
    </w:p>
    <w:p>
      <w:pPr>
        <w:spacing w:after="20"/>
        <w:jc w:val="right"/>
      </w:pPr>
      <w:r>
        <w:rPr>
          <w:b/>
          <w:sz w:val="20"/>
        </w:rPr>
        <w:t>CENA CELKEM S DPH    42 841 Kč</w:t>
      </w:r>
    </w:p>
    <w:p>
      <w:pPr>
        <w:spacing w:after="60"/>
      </w:pPr>
      <w:r>
        <w:rPr>
          <w:b w:val="0"/>
          <w:color w:val="66716E"/>
          <w:sz w:val="17"/>
        </w:rPr>
        <w:t>Cena obsahuje: práci, drobný materiál, přesun hmot v místě stavby, úklid po dokončení.</w:t>
      </w:r>
    </w:p>
    <w:p>
      <w:pPr>
        <w:spacing w:after="60"/>
      </w:pPr>
      <w:r>
        <w:rPr>
          <w:b w:val="0"/>
          <w:color w:val="66716E"/>
          <w:sz w:val="17"/>
        </w:rPr>
        <w:t>Cena neobsahuje: obkladačky a dlažbu (specifikace zvlášť), zařizovací předměty, vícepráce nad rámec nabídky (písemně předem).</w:t>
      </w:r>
    </w:p>
    <w:p>
      <w:pPr>
        <w:spacing w:after="60"/>
      </w:pPr>
      <w:r>
        <w:rPr>
          <w:b w:val="0"/>
          <w:color w:val="66716E"/>
          <w:sz w:val="17"/>
        </w:rPr>
        <w:t>Termín realizace: [X] pracovních dnů od zahájení. Platba: záloha [X] % při zahájení, doplatek po předání.</w:t>
      </w:r>
    </w:p>
    <w:p>
      <w:pPr>
        <w:spacing w:after="60"/>
      </w:pPr>
      <w:r>
        <w:rPr>
          <w:b w:val="0"/>
          <w:color w:val="66716E"/>
          <w:sz w:val="17"/>
        </w:rPr>
        <w:t>Příklad položek = mediány z aistav.cz/ceny (rozpočty reálných zakázek, září 2026).</w:t>
      </w:r>
    </w:p>
    <w:p>
      <w:pPr>
        <w:spacing w:after="60"/>
      </w:pPr>
      <w:r>
        <w:rPr>
          <w:b w:val="0"/>
          <w:sz w:val="19"/>
        </w:rPr>
        <w:br/>
        <w:t>Zhotovitel: ______________________      Objednatel (souhlasím s nabídkou): ______________________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16E"/>
        <w:sz w:val="14"/>
      </w:rPr>
      <w:t>Vzor zdarma od Aistav · aistav.cz/vzory · ceny bez DPH · náležitosti ověřte s účetní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